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98D" w:rsidRDefault="00462B72" w:rsidP="008012FB">
      <w:pPr>
        <w:spacing w:after="0" w:line="240" w:lineRule="auto"/>
        <w:rPr>
          <w:rFonts w:ascii="Matura MT Script Capitals" w:hAnsi="Matura MT Script Capitals"/>
          <w:color w:val="17365D" w:themeColor="text2" w:themeShade="BF"/>
          <w:sz w:val="28"/>
        </w:rPr>
      </w:pPr>
      <w:r>
        <w:rPr>
          <w:rFonts w:ascii="Matura MT Script Capitals" w:hAnsi="Matura MT Script Capitals"/>
          <w:noProof/>
          <w:color w:val="17365D" w:themeColor="text2" w:themeShade="BF"/>
          <w:sz w:val="28"/>
        </w:rPr>
        <w:drawing>
          <wp:anchor distT="0" distB="0" distL="114300" distR="114300" simplePos="0" relativeHeight="251663360" behindDoc="0" locked="0" layoutInCell="1" allowOverlap="1" wp14:anchorId="5E737957" wp14:editId="0F02EA0E">
            <wp:simplePos x="0" y="0"/>
            <wp:positionH relativeFrom="column">
              <wp:posOffset>476885</wp:posOffset>
            </wp:positionH>
            <wp:positionV relativeFrom="paragraph">
              <wp:posOffset>-422910</wp:posOffset>
            </wp:positionV>
            <wp:extent cx="2085340" cy="245808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 logo RÉCITATIF BIBLIQUE_précis=ci-dessus(300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5340" cy="2458085"/>
                    </a:xfrm>
                    <a:prstGeom prst="rect">
                      <a:avLst/>
                    </a:prstGeom>
                  </pic:spPr>
                </pic:pic>
              </a:graphicData>
            </a:graphic>
            <wp14:sizeRelH relativeFrom="page">
              <wp14:pctWidth>0</wp14:pctWidth>
            </wp14:sizeRelH>
            <wp14:sizeRelV relativeFrom="page">
              <wp14:pctHeight>0</wp14:pctHeight>
            </wp14:sizeRelV>
          </wp:anchor>
        </w:drawing>
      </w:r>
      <w:r w:rsidR="009A5AC5">
        <w:rPr>
          <w:rFonts w:ascii="Matura MT Script Capitals" w:hAnsi="Matura MT Script Capitals"/>
          <w:noProof/>
          <w:color w:val="17365D" w:themeColor="text2" w:themeShade="BF"/>
          <w:sz w:val="28"/>
        </w:rPr>
        <w:drawing>
          <wp:anchor distT="0" distB="0" distL="114300" distR="114300" simplePos="0" relativeHeight="251662336" behindDoc="1" locked="0" layoutInCell="1" allowOverlap="1" wp14:anchorId="02785595" wp14:editId="5D77F80A">
            <wp:simplePos x="0" y="0"/>
            <wp:positionH relativeFrom="column">
              <wp:posOffset>4904621</wp:posOffset>
            </wp:positionH>
            <wp:positionV relativeFrom="paragraph">
              <wp:posOffset>-372257</wp:posOffset>
            </wp:positionV>
            <wp:extent cx="981029" cy="732693"/>
            <wp:effectExtent l="0" t="0" r="0" b="0"/>
            <wp:wrapNone/>
            <wp:docPr id="12" name="Image 9" descr="ECDQ  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Q  CMJN.png"/>
                    <pic:cNvPicPr/>
                  </pic:nvPicPr>
                  <pic:blipFill>
                    <a:blip r:embed="rId7" cstate="print"/>
                    <a:stretch>
                      <a:fillRect/>
                    </a:stretch>
                  </pic:blipFill>
                  <pic:spPr>
                    <a:xfrm>
                      <a:off x="0" y="0"/>
                      <a:ext cx="981029" cy="732693"/>
                    </a:xfrm>
                    <a:prstGeom prst="rect">
                      <a:avLst/>
                    </a:prstGeom>
                  </pic:spPr>
                </pic:pic>
              </a:graphicData>
            </a:graphic>
            <wp14:sizeRelH relativeFrom="margin">
              <wp14:pctWidth>0</wp14:pctWidth>
            </wp14:sizeRelH>
            <wp14:sizeRelV relativeFrom="margin">
              <wp14:pctHeight>0</wp14:pctHeight>
            </wp14:sizeRelV>
          </wp:anchor>
        </w:drawing>
      </w:r>
    </w:p>
    <w:p w:rsidR="008012FB" w:rsidRDefault="008012FB" w:rsidP="00EC390F">
      <w:pPr>
        <w:spacing w:after="0" w:line="240" w:lineRule="auto"/>
        <w:jc w:val="right"/>
        <w:rPr>
          <w:rFonts w:ascii="Matura MT Script Capitals" w:hAnsi="Matura MT Script Capitals"/>
          <w:color w:val="17365D" w:themeColor="text2" w:themeShade="BF"/>
          <w:sz w:val="28"/>
        </w:rPr>
      </w:pPr>
    </w:p>
    <w:p w:rsidR="001A45F0" w:rsidRPr="001A45F0" w:rsidRDefault="00B24085" w:rsidP="00B4730B">
      <w:pPr>
        <w:spacing w:after="0" w:line="240" w:lineRule="auto"/>
        <w:jc w:val="right"/>
        <w:rPr>
          <w:color w:val="17365D" w:themeColor="text2" w:themeShade="BF"/>
        </w:rPr>
      </w:pPr>
      <w:r>
        <w:rPr>
          <w:rFonts w:ascii="Souvenir Lt BT" w:hAnsi="Souvenir Lt BT"/>
          <w:b/>
          <w:i/>
          <w:color w:val="17365D" w:themeColor="text2" w:themeShade="BF"/>
          <w:sz w:val="28"/>
        </w:rPr>
        <w:t>Découvrir les</w:t>
      </w:r>
      <w:r w:rsidR="00B4730B">
        <w:rPr>
          <w:rFonts w:ascii="Souvenir Lt BT" w:hAnsi="Souvenir Lt BT"/>
          <w:b/>
          <w:i/>
          <w:color w:val="17365D" w:themeColor="text2" w:themeShade="BF"/>
          <w:sz w:val="28"/>
        </w:rPr>
        <w:t xml:space="preserve"> </w:t>
      </w:r>
      <w:r w:rsidR="00B4730B" w:rsidRPr="001A45F0">
        <w:rPr>
          <w:noProof/>
          <w:color w:val="17365D" w:themeColor="text2" w:themeShade="BF"/>
        </w:rPr>
        <w:drawing>
          <wp:inline distT="0" distB="0" distL="0" distR="0" wp14:anchorId="3B9065D4" wp14:editId="2D9F4F85">
            <wp:extent cx="2098687" cy="231149"/>
            <wp:effectExtent l="19050" t="0" r="0" b="0"/>
            <wp:docPr id="6" name="Image 1" descr="Récbibliq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écbibliques.png"/>
                    <pic:cNvPicPr/>
                  </pic:nvPicPr>
                  <pic:blipFill>
                    <a:blip r:embed="rId8" cstate="print"/>
                    <a:srcRect l="6515" r="7251" b="6244"/>
                    <a:stretch>
                      <a:fillRect/>
                    </a:stretch>
                  </pic:blipFill>
                  <pic:spPr>
                    <a:xfrm>
                      <a:off x="0" y="0"/>
                      <a:ext cx="2098687" cy="231149"/>
                    </a:xfrm>
                    <a:prstGeom prst="rect">
                      <a:avLst/>
                    </a:prstGeom>
                  </pic:spPr>
                </pic:pic>
              </a:graphicData>
            </a:graphic>
          </wp:inline>
        </w:drawing>
      </w:r>
      <w:r>
        <w:rPr>
          <w:noProof/>
          <w:color w:val="17365D" w:themeColor="text2" w:themeShade="BF"/>
        </w:rPr>
        <w:br/>
      </w:r>
    </w:p>
    <w:p w:rsidR="001A45F0" w:rsidRPr="001A45F0" w:rsidRDefault="001A45F0" w:rsidP="0095552C">
      <w:pPr>
        <w:pBdr>
          <w:bottom w:val="single" w:sz="4" w:space="1" w:color="auto"/>
        </w:pBdr>
        <w:spacing w:after="0" w:line="240" w:lineRule="auto"/>
        <w:ind w:left="4395"/>
        <w:jc w:val="right"/>
        <w:rPr>
          <w:color w:val="17365D" w:themeColor="text2" w:themeShade="BF"/>
        </w:rPr>
      </w:pPr>
    </w:p>
    <w:p w:rsidR="001A45F0" w:rsidRDefault="001A45F0" w:rsidP="001A45F0">
      <w:pPr>
        <w:spacing w:after="0" w:line="240" w:lineRule="auto"/>
        <w:ind w:left="708"/>
        <w:rPr>
          <w:color w:val="17365D" w:themeColor="text2" w:themeShade="BF"/>
        </w:rPr>
      </w:pPr>
    </w:p>
    <w:p w:rsidR="00DE59B9" w:rsidRPr="0097798D" w:rsidRDefault="008012FB" w:rsidP="00E96FEB">
      <w:pPr>
        <w:spacing w:after="0" w:line="240" w:lineRule="auto"/>
        <w:ind w:left="708"/>
        <w:jc w:val="right"/>
        <w:rPr>
          <w:rFonts w:ascii="Cambria" w:hAnsi="Cambria"/>
          <w:color w:val="17365D" w:themeColor="text2" w:themeShade="BF"/>
        </w:rPr>
      </w:pPr>
      <w:r>
        <w:rPr>
          <w:rFonts w:ascii="Cambria" w:hAnsi="Cambria"/>
          <w:i/>
          <w:color w:val="17365D" w:themeColor="text2" w:themeShade="BF"/>
        </w:rPr>
        <w:br/>
        <w:t xml:space="preserve">Et, </w:t>
      </w:r>
      <w:r w:rsidR="001A45F0" w:rsidRPr="0097798D">
        <w:rPr>
          <w:rFonts w:ascii="Cambria" w:hAnsi="Cambria"/>
          <w:i/>
          <w:color w:val="17365D" w:themeColor="text2" w:themeShade="BF"/>
        </w:rPr>
        <w:t>p</w:t>
      </w:r>
      <w:r w:rsidR="00366F84" w:rsidRPr="0097798D">
        <w:rPr>
          <w:rFonts w:ascii="Cambria" w:hAnsi="Cambria"/>
          <w:i/>
          <w:color w:val="17365D" w:themeColor="text2" w:themeShade="BF"/>
        </w:rPr>
        <w:t>artant de ce texte de l</w:t>
      </w:r>
      <w:r w:rsidR="00356A86">
        <w:rPr>
          <w:rFonts w:ascii="Cambria" w:hAnsi="Cambria"/>
          <w:i/>
          <w:color w:val="17365D" w:themeColor="text2" w:themeShade="BF"/>
        </w:rPr>
        <w:t>’Écriture</w:t>
      </w:r>
      <w:proofErr w:type="gramStart"/>
      <w:r w:rsidR="00356A86">
        <w:rPr>
          <w:rFonts w:ascii="Cambria" w:hAnsi="Cambria"/>
          <w:i/>
          <w:color w:val="17365D" w:themeColor="text2" w:themeShade="BF"/>
        </w:rPr>
        <w:t>,</w:t>
      </w:r>
      <w:proofErr w:type="gramEnd"/>
      <w:r w:rsidR="00356A86">
        <w:rPr>
          <w:rFonts w:ascii="Cambria" w:hAnsi="Cambria"/>
          <w:i/>
          <w:color w:val="17365D" w:themeColor="text2" w:themeShade="BF"/>
        </w:rPr>
        <w:br/>
      </w:r>
      <w:r w:rsidR="00366F84" w:rsidRPr="0097798D">
        <w:rPr>
          <w:rFonts w:ascii="Cambria" w:hAnsi="Cambria"/>
          <w:i/>
          <w:color w:val="17365D" w:themeColor="text2" w:themeShade="BF"/>
        </w:rPr>
        <w:t>il lui annonça la Bonne Nouvelle de Jésus</w:t>
      </w:r>
      <w:r w:rsidR="00EC390F" w:rsidRPr="0097798D">
        <w:rPr>
          <w:rFonts w:ascii="Cambria" w:hAnsi="Cambria"/>
          <w:color w:val="17365D" w:themeColor="text2" w:themeShade="BF"/>
        </w:rPr>
        <w:br/>
      </w:r>
      <w:r w:rsidR="00366F84" w:rsidRPr="0097798D">
        <w:rPr>
          <w:rFonts w:ascii="Cambria" w:hAnsi="Cambria"/>
          <w:color w:val="17365D" w:themeColor="text2" w:themeShade="BF"/>
          <w:sz w:val="18"/>
        </w:rPr>
        <w:t>(Ac 8,</w:t>
      </w:r>
      <w:r w:rsidR="00366F84" w:rsidRPr="002C4681">
        <w:rPr>
          <w:rFonts w:ascii="Cambria" w:hAnsi="Cambria"/>
          <w:color w:val="17365D" w:themeColor="text2" w:themeShade="BF"/>
          <w:sz w:val="16"/>
        </w:rPr>
        <w:t>35</w:t>
      </w:r>
      <w:r w:rsidR="00366F84" w:rsidRPr="0097798D">
        <w:rPr>
          <w:rFonts w:ascii="Cambria" w:hAnsi="Cambria"/>
          <w:color w:val="17365D" w:themeColor="text2" w:themeShade="BF"/>
          <w:sz w:val="18"/>
        </w:rPr>
        <w:t>)</w:t>
      </w:r>
    </w:p>
    <w:p w:rsidR="001A45F0" w:rsidRDefault="001A45F0" w:rsidP="001A45F0">
      <w:pPr>
        <w:spacing w:after="0" w:line="240" w:lineRule="auto"/>
        <w:rPr>
          <w:color w:val="17365D" w:themeColor="text2" w:themeShade="BF"/>
        </w:rPr>
      </w:pPr>
    </w:p>
    <w:p w:rsidR="00EC390F" w:rsidRDefault="00EC390F" w:rsidP="001A45F0">
      <w:pPr>
        <w:spacing w:after="0" w:line="240" w:lineRule="auto"/>
        <w:rPr>
          <w:color w:val="17365D" w:themeColor="text2" w:themeShade="BF"/>
        </w:rPr>
      </w:pPr>
    </w:p>
    <w:p w:rsidR="00462B72" w:rsidRPr="00462B72" w:rsidRDefault="00462B72" w:rsidP="00462B72">
      <w:pPr>
        <w:spacing w:after="0" w:line="240" w:lineRule="auto"/>
        <w:rPr>
          <w:color w:val="17365D" w:themeColor="text2" w:themeShade="BF"/>
        </w:rPr>
      </w:pPr>
      <w:r w:rsidRPr="00462B72">
        <w:rPr>
          <w:color w:val="17365D" w:themeColor="text2" w:themeShade="BF"/>
        </w:rPr>
        <w:t xml:space="preserve">On insiste beaucoup, depuis quelques années, sur l’importance d’une catéchèse solidement ancrée </w:t>
      </w:r>
      <w:r w:rsidR="00594FAA">
        <w:rPr>
          <w:color w:val="17365D" w:themeColor="text2" w:themeShade="BF"/>
        </w:rPr>
        <w:br/>
      </w:r>
      <w:r w:rsidRPr="00462B72">
        <w:rPr>
          <w:color w:val="17365D" w:themeColor="text2" w:themeShade="BF"/>
        </w:rPr>
        <w:t xml:space="preserve">dans la Parole de Dieu. Voici ce que nous dit le pape François à ce sujet, dans son exhortation apostolique </w:t>
      </w:r>
      <w:proofErr w:type="spellStart"/>
      <w:r w:rsidRPr="00462B72">
        <w:rPr>
          <w:color w:val="17365D" w:themeColor="text2" w:themeShade="BF"/>
        </w:rPr>
        <w:t>Evangelii</w:t>
      </w:r>
      <w:proofErr w:type="spellEnd"/>
      <w:r w:rsidRPr="00462B72">
        <w:rPr>
          <w:color w:val="17365D" w:themeColor="text2" w:themeShade="BF"/>
        </w:rPr>
        <w:t xml:space="preserve"> </w:t>
      </w:r>
      <w:proofErr w:type="spellStart"/>
      <w:r w:rsidRPr="00462B72">
        <w:rPr>
          <w:color w:val="17365D" w:themeColor="text2" w:themeShade="BF"/>
        </w:rPr>
        <w:t>Gaudium</w:t>
      </w:r>
      <w:proofErr w:type="spellEnd"/>
      <w:r w:rsidRPr="00462B72">
        <w:rPr>
          <w:color w:val="17365D" w:themeColor="text2" w:themeShade="BF"/>
        </w:rPr>
        <w:t xml:space="preserve"> :</w:t>
      </w:r>
    </w:p>
    <w:p w:rsidR="00462B72" w:rsidRPr="00462B72" w:rsidRDefault="00462B72" w:rsidP="00462B72">
      <w:pPr>
        <w:spacing w:after="0" w:line="240" w:lineRule="auto"/>
        <w:ind w:left="708"/>
        <w:rPr>
          <w:color w:val="005DA2"/>
          <w:sz w:val="18"/>
        </w:rPr>
      </w:pPr>
      <w:r w:rsidRPr="00462B72">
        <w:rPr>
          <w:color w:val="005DA2"/>
        </w:rPr>
        <w:t>« La parole a en soi un potentiel que nous ne pouvons pas prévoir. L’Évangile parle d’une semence qui, une fois semée, croît d’elle-même, y compris quand l’agriculteur dort. L’Église doit accepter cette liberté insaisissable de la Parole, qui est efficace à sa manière, et sous des formes très diverses (...) »</w:t>
      </w:r>
      <w:r>
        <w:rPr>
          <w:color w:val="005DA2"/>
        </w:rPr>
        <w:t xml:space="preserve">  </w:t>
      </w:r>
      <w:r w:rsidRPr="00462B72">
        <w:rPr>
          <w:color w:val="005DA2"/>
          <w:sz w:val="18"/>
        </w:rPr>
        <w:t>(# 22)</w:t>
      </w:r>
    </w:p>
    <w:p w:rsidR="00462B72" w:rsidRPr="00462B72" w:rsidRDefault="00462B72" w:rsidP="00462B72">
      <w:pPr>
        <w:spacing w:after="0" w:line="240" w:lineRule="auto"/>
        <w:ind w:left="708"/>
        <w:rPr>
          <w:color w:val="005DA2"/>
          <w:sz w:val="16"/>
        </w:rPr>
      </w:pPr>
      <w:r w:rsidRPr="00462B72">
        <w:rPr>
          <w:color w:val="005DA2"/>
        </w:rPr>
        <w:t>« La Sainte Écriture est source de l’évangélisation. Par conséquent, il faut se former continuellement à l’écoute de la Parole. »</w:t>
      </w:r>
      <w:r>
        <w:rPr>
          <w:color w:val="005DA2"/>
        </w:rPr>
        <w:t xml:space="preserve">   </w:t>
      </w:r>
      <w:r w:rsidRPr="00462B72">
        <w:rPr>
          <w:color w:val="005DA2"/>
          <w:sz w:val="16"/>
        </w:rPr>
        <w:t>(# 174)</w:t>
      </w:r>
    </w:p>
    <w:p w:rsidR="001A45F0" w:rsidRDefault="001A45F0" w:rsidP="001A45F0">
      <w:pPr>
        <w:spacing w:after="0" w:line="240" w:lineRule="auto"/>
        <w:rPr>
          <w:color w:val="17365D" w:themeColor="text2" w:themeShade="BF"/>
        </w:rPr>
      </w:pPr>
    </w:p>
    <w:p w:rsidR="00366F84" w:rsidRDefault="00366F84" w:rsidP="001A45F0">
      <w:pPr>
        <w:spacing w:after="0" w:line="240" w:lineRule="auto"/>
        <w:rPr>
          <w:color w:val="17365D" w:themeColor="text2" w:themeShade="BF"/>
        </w:rPr>
      </w:pPr>
      <w:r w:rsidRPr="001A45F0">
        <w:rPr>
          <w:color w:val="17365D" w:themeColor="text2" w:themeShade="BF"/>
        </w:rPr>
        <w:t>Or pour cela, ne faut-il pas d’abord devenir familier ou familière avec les textes bibliques ? Combien d’épisodes évangéliques connaissons-nous par cœur, ou suffisamment pour les raconter sans en échapper des morceaux signifiants ?</w:t>
      </w:r>
    </w:p>
    <w:p w:rsidR="001A45F0" w:rsidRPr="001A45F0" w:rsidRDefault="001A45F0" w:rsidP="001A45F0">
      <w:pPr>
        <w:spacing w:after="0" w:line="240" w:lineRule="auto"/>
        <w:rPr>
          <w:color w:val="17365D" w:themeColor="text2" w:themeShade="BF"/>
        </w:rPr>
      </w:pPr>
    </w:p>
    <w:p w:rsidR="00366F84" w:rsidRPr="001A45F0" w:rsidRDefault="00366F84" w:rsidP="001A45F0">
      <w:pPr>
        <w:spacing w:after="0" w:line="240" w:lineRule="auto"/>
        <w:rPr>
          <w:color w:val="17365D" w:themeColor="text2" w:themeShade="BF"/>
        </w:rPr>
      </w:pPr>
      <w:r w:rsidRPr="001A45F0">
        <w:rPr>
          <w:color w:val="17365D" w:themeColor="text2" w:themeShade="BF"/>
        </w:rPr>
        <w:t>Nous vous proposons aujourd’hui de découvrir une façon tout à fait originale de nous approprier les textes bibliques, en leur permettant de nous « passer par le corps » et</w:t>
      </w:r>
      <w:r w:rsidR="001A45F0">
        <w:rPr>
          <w:color w:val="17365D" w:themeColor="text2" w:themeShade="BF"/>
        </w:rPr>
        <w:t xml:space="preserve">, par là, </w:t>
      </w:r>
      <w:r w:rsidRPr="001A45F0">
        <w:rPr>
          <w:color w:val="17365D" w:themeColor="text2" w:themeShade="BF"/>
        </w:rPr>
        <w:t>de s’inscrire de façon profonde dans notre mémoire</w:t>
      </w:r>
      <w:r w:rsidR="00BC2ED0" w:rsidRPr="001A45F0">
        <w:rPr>
          <w:color w:val="17365D" w:themeColor="text2" w:themeShade="BF"/>
        </w:rPr>
        <w:t>.</w:t>
      </w:r>
      <w:r w:rsidR="001A45F0">
        <w:rPr>
          <w:color w:val="17365D" w:themeColor="text2" w:themeShade="BF"/>
        </w:rPr>
        <w:t xml:space="preserve"> Il s’agit toutefois de beaucoup plus que d’une technique pour retenir le texte</w:t>
      </w:r>
      <w:r w:rsidR="00EC390F">
        <w:rPr>
          <w:color w:val="17365D" w:themeColor="text2" w:themeShade="BF"/>
        </w:rPr>
        <w:t> :</w:t>
      </w:r>
    </w:p>
    <w:p w:rsidR="00BC2ED0" w:rsidRDefault="00BC2ED0" w:rsidP="001A45F0">
      <w:pPr>
        <w:spacing w:after="0" w:line="240" w:lineRule="auto"/>
        <w:ind w:left="708"/>
        <w:rPr>
          <w:color w:val="17365D" w:themeColor="text2" w:themeShade="BF"/>
        </w:rPr>
      </w:pPr>
      <w:r w:rsidRPr="001A45F0">
        <w:rPr>
          <w:i/>
          <w:iCs/>
          <w:color w:val="17365D" w:themeColor="text2" w:themeShade="BF"/>
        </w:rPr>
        <w:t>Le récitatif biblique</w:t>
      </w:r>
      <w:r w:rsidRPr="001A45F0">
        <w:rPr>
          <w:color w:val="17365D" w:themeColor="text2" w:themeShade="BF"/>
        </w:rPr>
        <w:t> est une discipline qui allie la dimension corporelle et spirituelle de la personne en l’enracinant dans la tradition orale de la Bible. Quand on entre dans cette discipline on apprend l’art de se laisser mettre en mouvement, à l’intérieur comme à l’extérieur, par le souffle vivant d’une Parole sacrée qui traverse les âges.</w:t>
      </w:r>
    </w:p>
    <w:p w:rsidR="001A45F0" w:rsidRPr="002503CC" w:rsidRDefault="001A45F0" w:rsidP="001A45F0">
      <w:pPr>
        <w:spacing w:after="0" w:line="240" w:lineRule="auto"/>
        <w:ind w:left="708"/>
        <w:jc w:val="right"/>
        <w:rPr>
          <w:color w:val="17365D" w:themeColor="text2" w:themeShade="BF"/>
          <w:sz w:val="18"/>
        </w:rPr>
      </w:pPr>
      <w:r w:rsidRPr="001A45F0">
        <w:rPr>
          <w:color w:val="17365D" w:themeColor="text2" w:themeShade="BF"/>
          <w:sz w:val="20"/>
        </w:rPr>
        <w:t xml:space="preserve">Louise Bisson, </w:t>
      </w:r>
      <w:r w:rsidRPr="002503CC">
        <w:rPr>
          <w:color w:val="17365D" w:themeColor="text2" w:themeShade="BF"/>
          <w:sz w:val="18"/>
        </w:rPr>
        <w:t>Association canadienne du récitatif biblique</w:t>
      </w:r>
    </w:p>
    <w:p w:rsidR="00366F84" w:rsidRDefault="00366F84" w:rsidP="001A45F0">
      <w:pPr>
        <w:spacing w:after="0" w:line="240" w:lineRule="auto"/>
        <w:rPr>
          <w:color w:val="17365D" w:themeColor="text2" w:themeShade="BF"/>
        </w:rPr>
      </w:pPr>
    </w:p>
    <w:p w:rsidR="00EC390F" w:rsidRDefault="00EC390F" w:rsidP="00594FAA">
      <w:pPr>
        <w:spacing w:after="0" w:line="240" w:lineRule="auto"/>
        <w:rPr>
          <w:color w:val="17365D" w:themeColor="text2" w:themeShade="BF"/>
        </w:rPr>
      </w:pPr>
      <w:r>
        <w:rPr>
          <w:color w:val="17365D" w:themeColor="text2" w:themeShade="BF"/>
        </w:rPr>
        <w:t>Le récitatif biblique n’</w:t>
      </w:r>
      <w:r w:rsidR="00EF02B3">
        <w:rPr>
          <w:color w:val="17365D" w:themeColor="text2" w:themeShade="BF"/>
        </w:rPr>
        <w:t>est</w:t>
      </w:r>
      <w:r>
        <w:rPr>
          <w:color w:val="17365D" w:themeColor="text2" w:themeShade="BF"/>
        </w:rPr>
        <w:t xml:space="preserve"> pas en compétition avec d’autres méthodes catéchétiques. Au contraire, il peut s’intégrer à tout projet catéchétique pour l’enrichir d’un rapport neuf à la Parole, sur lequel pourra s’appuyer toute démarche de découverte de la foi chrétienne.</w:t>
      </w:r>
      <w:r w:rsidR="00EF02B3">
        <w:rPr>
          <w:color w:val="17365D" w:themeColor="text2" w:themeShade="BF"/>
        </w:rPr>
        <w:t xml:space="preserve"> </w:t>
      </w:r>
    </w:p>
    <w:p w:rsidR="00594FAA" w:rsidRDefault="00594FAA" w:rsidP="00594FAA">
      <w:pPr>
        <w:spacing w:after="0" w:line="240" w:lineRule="auto"/>
        <w:rPr>
          <w:color w:val="17365D" w:themeColor="text2" w:themeShade="BF"/>
        </w:rPr>
      </w:pPr>
    </w:p>
    <w:p w:rsidR="00871172" w:rsidRDefault="00594FAA" w:rsidP="00EC390F">
      <w:pPr>
        <w:pBdr>
          <w:top w:val="single" w:sz="4" w:space="1" w:color="auto"/>
        </w:pBdr>
        <w:spacing w:after="0" w:line="240" w:lineRule="auto"/>
        <w:rPr>
          <w:color w:val="17365D" w:themeColor="text2" w:themeShade="BF"/>
        </w:rPr>
      </w:pPr>
      <w:r>
        <w:rPr>
          <w:noProof/>
        </w:rPr>
        <mc:AlternateContent>
          <mc:Choice Requires="wps">
            <w:drawing>
              <wp:anchor distT="0" distB="0" distL="114300" distR="114300" simplePos="0" relativeHeight="251660288" behindDoc="0" locked="0" layoutInCell="0" allowOverlap="1" wp14:anchorId="188422F8" wp14:editId="203E407D">
                <wp:simplePos x="0" y="0"/>
                <wp:positionH relativeFrom="margin">
                  <wp:posOffset>360680</wp:posOffset>
                </wp:positionH>
                <wp:positionV relativeFrom="page">
                  <wp:posOffset>8225302</wp:posOffset>
                </wp:positionV>
                <wp:extent cx="1563370" cy="2219960"/>
                <wp:effectExtent l="6668" t="0" r="2222" b="2223"/>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63370" cy="2219960"/>
                        </a:xfrm>
                        <a:prstGeom prst="bracePair">
                          <a:avLst>
                            <a:gd name="adj" fmla="val 4639"/>
                          </a:avLst>
                        </a:prstGeom>
                        <a:solidFill>
                          <a:schemeClr val="tx2">
                            <a:lumMod val="100000"/>
                            <a:lumOff val="0"/>
                          </a:schemeClr>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EC390F" w:rsidRPr="00EC390F" w:rsidRDefault="00EC390F" w:rsidP="00EC390F">
                            <w:pPr>
                              <w:spacing w:after="0" w:line="288" w:lineRule="auto"/>
                              <w:jc w:val="right"/>
                              <w:rPr>
                                <w:rFonts w:asciiTheme="majorHAnsi" w:eastAsiaTheme="majorEastAsia" w:hAnsiTheme="majorHAnsi" w:cstheme="majorBidi"/>
                                <w:i/>
                                <w:iCs/>
                                <w:color w:val="D3DFEE" w:themeColor="accent1" w:themeTint="3F"/>
                                <w:sz w:val="16"/>
                                <w:szCs w:val="28"/>
                              </w:rPr>
                            </w:pPr>
                            <w:r w:rsidRPr="00EC390F">
                              <w:rPr>
                                <w:rFonts w:asciiTheme="majorHAnsi" w:eastAsiaTheme="majorEastAsia" w:hAnsiTheme="majorHAnsi" w:cstheme="majorBidi"/>
                                <w:i/>
                                <w:iCs/>
                                <w:color w:val="D3DFEE" w:themeColor="accent1" w:themeTint="3F"/>
                                <w:sz w:val="20"/>
                                <w:szCs w:val="28"/>
                              </w:rPr>
                              <w:t xml:space="preserve">« La catéchèse </w:t>
                            </w:r>
                            <w:r>
                              <w:rPr>
                                <w:rFonts w:asciiTheme="majorHAnsi" w:eastAsiaTheme="majorEastAsia" w:hAnsiTheme="majorHAnsi" w:cstheme="majorBidi"/>
                                <w:i/>
                                <w:iCs/>
                                <w:color w:val="D3DFEE" w:themeColor="accent1" w:themeTint="3F"/>
                                <w:sz w:val="20"/>
                                <w:szCs w:val="28"/>
                              </w:rPr>
                              <w:t>doit s'imprégner</w:t>
                            </w:r>
                            <w:r>
                              <w:rPr>
                                <w:rFonts w:asciiTheme="majorHAnsi" w:eastAsiaTheme="majorEastAsia" w:hAnsiTheme="majorHAnsi" w:cstheme="majorBidi"/>
                                <w:i/>
                                <w:iCs/>
                                <w:color w:val="D3DFEE" w:themeColor="accent1" w:themeTint="3F"/>
                                <w:sz w:val="20"/>
                                <w:szCs w:val="28"/>
                              </w:rPr>
                              <w:br/>
                            </w:r>
                            <w:r w:rsidRPr="00EC390F">
                              <w:rPr>
                                <w:rFonts w:asciiTheme="majorHAnsi" w:eastAsiaTheme="majorEastAsia" w:hAnsiTheme="majorHAnsi" w:cstheme="majorBidi"/>
                                <w:i/>
                                <w:iCs/>
                                <w:color w:val="D3DFEE" w:themeColor="accent1" w:themeTint="3F"/>
                                <w:sz w:val="20"/>
                                <w:szCs w:val="28"/>
                              </w:rPr>
                              <w:t>et se pénétrer de la pensée, de l'es</w:t>
                            </w:r>
                            <w:r>
                              <w:rPr>
                                <w:rFonts w:asciiTheme="majorHAnsi" w:eastAsiaTheme="majorEastAsia" w:hAnsiTheme="majorHAnsi" w:cstheme="majorBidi"/>
                                <w:i/>
                                <w:iCs/>
                                <w:color w:val="D3DFEE" w:themeColor="accent1" w:themeTint="3F"/>
                                <w:sz w:val="20"/>
                                <w:szCs w:val="28"/>
                              </w:rPr>
                              <w:t>prit et des attitudes bibliques</w:t>
                            </w:r>
                            <w:r>
                              <w:rPr>
                                <w:rFonts w:asciiTheme="majorHAnsi" w:eastAsiaTheme="majorEastAsia" w:hAnsiTheme="majorHAnsi" w:cstheme="majorBidi"/>
                                <w:i/>
                                <w:iCs/>
                                <w:color w:val="D3DFEE" w:themeColor="accent1" w:themeTint="3F"/>
                                <w:sz w:val="20"/>
                                <w:szCs w:val="28"/>
                              </w:rPr>
                              <w:br/>
                            </w:r>
                            <w:r w:rsidRPr="00EC390F">
                              <w:rPr>
                                <w:rFonts w:asciiTheme="majorHAnsi" w:eastAsiaTheme="majorEastAsia" w:hAnsiTheme="majorHAnsi" w:cstheme="majorBidi"/>
                                <w:i/>
                                <w:iCs/>
                                <w:color w:val="D3DFEE" w:themeColor="accent1" w:themeTint="3F"/>
                                <w:sz w:val="20"/>
                                <w:szCs w:val="28"/>
                              </w:rPr>
                              <w:t>et évangéliques</w:t>
                            </w:r>
                            <w:r>
                              <w:rPr>
                                <w:rFonts w:asciiTheme="majorHAnsi" w:eastAsiaTheme="majorEastAsia" w:hAnsiTheme="majorHAnsi" w:cstheme="majorBidi"/>
                                <w:i/>
                                <w:iCs/>
                                <w:color w:val="D3DFEE" w:themeColor="accent1" w:themeTint="3F"/>
                                <w:sz w:val="20"/>
                                <w:szCs w:val="28"/>
                              </w:rPr>
                              <w:br/>
                            </w:r>
                            <w:r w:rsidRPr="00EC390F">
                              <w:rPr>
                                <w:rFonts w:asciiTheme="majorHAnsi" w:eastAsiaTheme="majorEastAsia" w:hAnsiTheme="majorHAnsi" w:cstheme="majorBidi"/>
                                <w:i/>
                                <w:iCs/>
                                <w:color w:val="D3DFEE" w:themeColor="accent1" w:themeTint="3F"/>
                                <w:sz w:val="20"/>
                                <w:szCs w:val="28"/>
                              </w:rPr>
                              <w:t>par un contact assidu</w:t>
                            </w:r>
                            <w:r>
                              <w:rPr>
                                <w:rFonts w:asciiTheme="majorHAnsi" w:eastAsiaTheme="majorEastAsia" w:hAnsiTheme="majorHAnsi" w:cstheme="majorBidi"/>
                                <w:i/>
                                <w:iCs/>
                                <w:color w:val="D3DFEE" w:themeColor="accent1" w:themeTint="3F"/>
                                <w:sz w:val="20"/>
                                <w:szCs w:val="28"/>
                              </w:rPr>
                              <w:br/>
                            </w:r>
                            <w:r w:rsidRPr="00EC390F">
                              <w:rPr>
                                <w:rFonts w:asciiTheme="majorHAnsi" w:eastAsiaTheme="majorEastAsia" w:hAnsiTheme="majorHAnsi" w:cstheme="majorBidi"/>
                                <w:i/>
                                <w:iCs/>
                                <w:color w:val="D3DFEE" w:themeColor="accent1" w:themeTint="3F"/>
                                <w:sz w:val="20"/>
                                <w:szCs w:val="28"/>
                              </w:rPr>
                              <w:t>avec les textes eux-mêmes. »</w:t>
                            </w:r>
                            <w:r>
                              <w:rPr>
                                <w:rFonts w:asciiTheme="majorHAnsi" w:eastAsiaTheme="majorEastAsia" w:hAnsiTheme="majorHAnsi" w:cstheme="majorBidi"/>
                                <w:i/>
                                <w:iCs/>
                                <w:color w:val="D3DFEE" w:themeColor="accent1" w:themeTint="3F"/>
                                <w:sz w:val="20"/>
                                <w:szCs w:val="28"/>
                              </w:rPr>
                              <w:br/>
                            </w:r>
                            <w:r w:rsidRPr="00EC390F">
                              <w:rPr>
                                <w:rFonts w:asciiTheme="majorHAnsi" w:eastAsiaTheme="majorEastAsia" w:hAnsiTheme="majorHAnsi" w:cstheme="majorBidi"/>
                                <w:i/>
                                <w:iCs/>
                                <w:color w:val="D3DFEE" w:themeColor="accent1" w:themeTint="3F"/>
                                <w:sz w:val="16"/>
                                <w:szCs w:val="28"/>
                              </w:rPr>
                              <w:t>(Directoire général pour la catéchèse,</w:t>
                            </w:r>
                            <w:r>
                              <w:rPr>
                                <w:rFonts w:asciiTheme="majorHAnsi" w:eastAsiaTheme="majorEastAsia" w:hAnsiTheme="majorHAnsi" w:cstheme="majorBidi"/>
                                <w:i/>
                                <w:iCs/>
                                <w:color w:val="D3DFEE" w:themeColor="accent1" w:themeTint="3F"/>
                                <w:sz w:val="16"/>
                                <w:szCs w:val="28"/>
                              </w:rPr>
                              <w:t xml:space="preserve"> </w:t>
                            </w:r>
                            <w:r w:rsidRPr="00EC390F">
                              <w:rPr>
                                <w:rFonts w:asciiTheme="majorHAnsi" w:eastAsiaTheme="majorEastAsia" w:hAnsiTheme="majorHAnsi" w:cstheme="majorBidi"/>
                                <w:i/>
                                <w:iCs/>
                                <w:color w:val="D3DFEE" w:themeColor="accent1" w:themeTint="3F"/>
                                <w:sz w:val="16"/>
                                <w:szCs w:val="28"/>
                              </w:rPr>
                              <w:t>n</w:t>
                            </w:r>
                            <w:r w:rsidRPr="00EC390F">
                              <w:rPr>
                                <w:rFonts w:asciiTheme="majorHAnsi" w:eastAsiaTheme="majorEastAsia" w:hAnsiTheme="majorHAnsi" w:cstheme="majorBidi"/>
                                <w:i/>
                                <w:iCs/>
                                <w:color w:val="D3DFEE" w:themeColor="accent1" w:themeTint="3F"/>
                                <w:sz w:val="16"/>
                                <w:szCs w:val="28"/>
                                <w:vertAlign w:val="superscript"/>
                              </w:rPr>
                              <w:t>o</w:t>
                            </w:r>
                            <w:r w:rsidRPr="00EC390F">
                              <w:rPr>
                                <w:rFonts w:asciiTheme="majorHAnsi" w:eastAsiaTheme="majorEastAsia" w:hAnsiTheme="majorHAnsi" w:cstheme="majorBidi"/>
                                <w:i/>
                                <w:iCs/>
                                <w:color w:val="D3DFEE" w:themeColor="accent1" w:themeTint="3F"/>
                                <w:sz w:val="16"/>
                                <w:szCs w:val="28"/>
                              </w:rPr>
                              <w:t> 127)</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margin-left:28.4pt;margin-top:647.65pt;width:123.1pt;height:174.8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" o:allowincell="f" adj="1002" filled="t" fillcolor="#1f497d [3215]" stroked="f" strokecolor="#5c83b4" strokeweight=".25pt">
                <v:shadow opacity=".5"/>
                <v:textbox style="mso-fit-shape-to-text:t">
                  <w:txbxContent>
                    <w:p w:rsidR="00EC390F" w:rsidRPr="00EC390F" w:rsidRDefault="00EC390F" w:rsidP="00EC390F">
                      <w:pPr>
                        <w:spacing w:after="0" w:line="288" w:lineRule="auto"/>
                        <w:jc w:val="right"/>
                        <w:rPr>
                          <w:rFonts w:asciiTheme="majorHAnsi" w:eastAsiaTheme="majorEastAsia" w:hAnsiTheme="majorHAnsi" w:cstheme="majorBidi"/>
                          <w:i/>
                          <w:iCs/>
                          <w:color w:val="D3DFEE" w:themeColor="accent1" w:themeTint="3F"/>
                          <w:sz w:val="16"/>
                          <w:szCs w:val="28"/>
                        </w:rPr>
                      </w:pPr>
                      <w:r w:rsidRPr="00EC390F">
                        <w:rPr>
                          <w:rFonts w:asciiTheme="majorHAnsi" w:eastAsiaTheme="majorEastAsia" w:hAnsiTheme="majorHAnsi" w:cstheme="majorBidi"/>
                          <w:i/>
                          <w:iCs/>
                          <w:color w:val="D3DFEE" w:themeColor="accent1" w:themeTint="3F"/>
                          <w:sz w:val="20"/>
                          <w:szCs w:val="28"/>
                        </w:rPr>
                        <w:t xml:space="preserve">« La catéchèse </w:t>
                      </w:r>
                      <w:r>
                        <w:rPr>
                          <w:rFonts w:asciiTheme="majorHAnsi" w:eastAsiaTheme="majorEastAsia" w:hAnsiTheme="majorHAnsi" w:cstheme="majorBidi"/>
                          <w:i/>
                          <w:iCs/>
                          <w:color w:val="D3DFEE" w:themeColor="accent1" w:themeTint="3F"/>
                          <w:sz w:val="20"/>
                          <w:szCs w:val="28"/>
                        </w:rPr>
                        <w:t>doit s'imprégner</w:t>
                      </w:r>
                      <w:r>
                        <w:rPr>
                          <w:rFonts w:asciiTheme="majorHAnsi" w:eastAsiaTheme="majorEastAsia" w:hAnsiTheme="majorHAnsi" w:cstheme="majorBidi"/>
                          <w:i/>
                          <w:iCs/>
                          <w:color w:val="D3DFEE" w:themeColor="accent1" w:themeTint="3F"/>
                          <w:sz w:val="20"/>
                          <w:szCs w:val="28"/>
                        </w:rPr>
                        <w:br/>
                      </w:r>
                      <w:r w:rsidRPr="00EC390F">
                        <w:rPr>
                          <w:rFonts w:asciiTheme="majorHAnsi" w:eastAsiaTheme="majorEastAsia" w:hAnsiTheme="majorHAnsi" w:cstheme="majorBidi"/>
                          <w:i/>
                          <w:iCs/>
                          <w:color w:val="D3DFEE" w:themeColor="accent1" w:themeTint="3F"/>
                          <w:sz w:val="20"/>
                          <w:szCs w:val="28"/>
                        </w:rPr>
                        <w:t>et se pénétrer de la pensée, de l'es</w:t>
                      </w:r>
                      <w:r>
                        <w:rPr>
                          <w:rFonts w:asciiTheme="majorHAnsi" w:eastAsiaTheme="majorEastAsia" w:hAnsiTheme="majorHAnsi" w:cstheme="majorBidi"/>
                          <w:i/>
                          <w:iCs/>
                          <w:color w:val="D3DFEE" w:themeColor="accent1" w:themeTint="3F"/>
                          <w:sz w:val="20"/>
                          <w:szCs w:val="28"/>
                        </w:rPr>
                        <w:t>prit et des attitudes bibliques</w:t>
                      </w:r>
                      <w:r>
                        <w:rPr>
                          <w:rFonts w:asciiTheme="majorHAnsi" w:eastAsiaTheme="majorEastAsia" w:hAnsiTheme="majorHAnsi" w:cstheme="majorBidi"/>
                          <w:i/>
                          <w:iCs/>
                          <w:color w:val="D3DFEE" w:themeColor="accent1" w:themeTint="3F"/>
                          <w:sz w:val="20"/>
                          <w:szCs w:val="28"/>
                        </w:rPr>
                        <w:br/>
                      </w:r>
                      <w:r w:rsidRPr="00EC390F">
                        <w:rPr>
                          <w:rFonts w:asciiTheme="majorHAnsi" w:eastAsiaTheme="majorEastAsia" w:hAnsiTheme="majorHAnsi" w:cstheme="majorBidi"/>
                          <w:i/>
                          <w:iCs/>
                          <w:color w:val="D3DFEE" w:themeColor="accent1" w:themeTint="3F"/>
                          <w:sz w:val="20"/>
                          <w:szCs w:val="28"/>
                        </w:rPr>
                        <w:t>et évangéliques</w:t>
                      </w:r>
                      <w:r>
                        <w:rPr>
                          <w:rFonts w:asciiTheme="majorHAnsi" w:eastAsiaTheme="majorEastAsia" w:hAnsiTheme="majorHAnsi" w:cstheme="majorBidi"/>
                          <w:i/>
                          <w:iCs/>
                          <w:color w:val="D3DFEE" w:themeColor="accent1" w:themeTint="3F"/>
                          <w:sz w:val="20"/>
                          <w:szCs w:val="28"/>
                        </w:rPr>
                        <w:br/>
                      </w:r>
                      <w:r w:rsidRPr="00EC390F">
                        <w:rPr>
                          <w:rFonts w:asciiTheme="majorHAnsi" w:eastAsiaTheme="majorEastAsia" w:hAnsiTheme="majorHAnsi" w:cstheme="majorBidi"/>
                          <w:i/>
                          <w:iCs/>
                          <w:color w:val="D3DFEE" w:themeColor="accent1" w:themeTint="3F"/>
                          <w:sz w:val="20"/>
                          <w:szCs w:val="28"/>
                        </w:rPr>
                        <w:t>par un contact assidu</w:t>
                      </w:r>
                      <w:r>
                        <w:rPr>
                          <w:rFonts w:asciiTheme="majorHAnsi" w:eastAsiaTheme="majorEastAsia" w:hAnsiTheme="majorHAnsi" w:cstheme="majorBidi"/>
                          <w:i/>
                          <w:iCs/>
                          <w:color w:val="D3DFEE" w:themeColor="accent1" w:themeTint="3F"/>
                          <w:sz w:val="20"/>
                          <w:szCs w:val="28"/>
                        </w:rPr>
                        <w:br/>
                      </w:r>
                      <w:r w:rsidRPr="00EC390F">
                        <w:rPr>
                          <w:rFonts w:asciiTheme="majorHAnsi" w:eastAsiaTheme="majorEastAsia" w:hAnsiTheme="majorHAnsi" w:cstheme="majorBidi"/>
                          <w:i/>
                          <w:iCs/>
                          <w:color w:val="D3DFEE" w:themeColor="accent1" w:themeTint="3F"/>
                          <w:sz w:val="20"/>
                          <w:szCs w:val="28"/>
                        </w:rPr>
                        <w:t>avec les textes eux-mêmes. »</w:t>
                      </w:r>
                      <w:r>
                        <w:rPr>
                          <w:rFonts w:asciiTheme="majorHAnsi" w:eastAsiaTheme="majorEastAsia" w:hAnsiTheme="majorHAnsi" w:cstheme="majorBidi"/>
                          <w:i/>
                          <w:iCs/>
                          <w:color w:val="D3DFEE" w:themeColor="accent1" w:themeTint="3F"/>
                          <w:sz w:val="20"/>
                          <w:szCs w:val="28"/>
                        </w:rPr>
                        <w:br/>
                      </w:r>
                      <w:r w:rsidRPr="00EC390F">
                        <w:rPr>
                          <w:rFonts w:asciiTheme="majorHAnsi" w:eastAsiaTheme="majorEastAsia" w:hAnsiTheme="majorHAnsi" w:cstheme="majorBidi"/>
                          <w:i/>
                          <w:iCs/>
                          <w:color w:val="D3DFEE" w:themeColor="accent1" w:themeTint="3F"/>
                          <w:sz w:val="16"/>
                          <w:szCs w:val="28"/>
                        </w:rPr>
                        <w:t>(Directoire général pour la catéchèse,</w:t>
                      </w:r>
                      <w:r>
                        <w:rPr>
                          <w:rFonts w:asciiTheme="majorHAnsi" w:eastAsiaTheme="majorEastAsia" w:hAnsiTheme="majorHAnsi" w:cstheme="majorBidi"/>
                          <w:i/>
                          <w:iCs/>
                          <w:color w:val="D3DFEE" w:themeColor="accent1" w:themeTint="3F"/>
                          <w:sz w:val="16"/>
                          <w:szCs w:val="28"/>
                        </w:rPr>
                        <w:t xml:space="preserve"> </w:t>
                      </w:r>
                      <w:r w:rsidRPr="00EC390F">
                        <w:rPr>
                          <w:rFonts w:asciiTheme="majorHAnsi" w:eastAsiaTheme="majorEastAsia" w:hAnsiTheme="majorHAnsi" w:cstheme="majorBidi"/>
                          <w:i/>
                          <w:iCs/>
                          <w:color w:val="D3DFEE" w:themeColor="accent1" w:themeTint="3F"/>
                          <w:sz w:val="16"/>
                          <w:szCs w:val="28"/>
                        </w:rPr>
                        <w:t>n</w:t>
                      </w:r>
                      <w:r w:rsidRPr="00EC390F">
                        <w:rPr>
                          <w:rFonts w:asciiTheme="majorHAnsi" w:eastAsiaTheme="majorEastAsia" w:hAnsiTheme="majorHAnsi" w:cstheme="majorBidi"/>
                          <w:i/>
                          <w:iCs/>
                          <w:color w:val="D3DFEE" w:themeColor="accent1" w:themeTint="3F"/>
                          <w:sz w:val="16"/>
                          <w:szCs w:val="28"/>
                          <w:vertAlign w:val="superscript"/>
                        </w:rPr>
                        <w:t>o</w:t>
                      </w:r>
                      <w:r w:rsidRPr="00EC390F">
                        <w:rPr>
                          <w:rFonts w:asciiTheme="majorHAnsi" w:eastAsiaTheme="majorEastAsia" w:hAnsiTheme="majorHAnsi" w:cstheme="majorBidi"/>
                          <w:i/>
                          <w:iCs/>
                          <w:color w:val="D3DFEE" w:themeColor="accent1" w:themeTint="3F"/>
                          <w:sz w:val="16"/>
                          <w:szCs w:val="28"/>
                        </w:rPr>
                        <w:t> 127)</w:t>
                      </w:r>
                    </w:p>
                  </w:txbxContent>
                </v:textbox>
                <w10:wrap anchorx="margin" anchory="page"/>
              </v:shape>
            </w:pict>
          </mc:Fallback>
        </mc:AlternateContent>
      </w:r>
      <w:r w:rsidR="00432F3D">
        <w:rPr>
          <w:color w:val="17365D" w:themeColor="text2" w:themeShade="BF"/>
        </w:rPr>
        <w:t xml:space="preserve">Madame Louise Bisson, bibliste </w:t>
      </w:r>
      <w:r w:rsidR="00B24085">
        <w:rPr>
          <w:color w:val="17365D" w:themeColor="text2" w:themeShade="BF"/>
        </w:rPr>
        <w:t xml:space="preserve">de tradition orale </w:t>
      </w:r>
      <w:r w:rsidR="00432F3D">
        <w:rPr>
          <w:color w:val="17365D" w:themeColor="text2" w:themeShade="BF"/>
        </w:rPr>
        <w:t>et fondatrice de l’Association canadienne du récitatif biblique</w:t>
      </w:r>
      <w:r>
        <w:rPr>
          <w:color w:val="17365D" w:themeColor="text2" w:themeShade="BF"/>
        </w:rPr>
        <w:t xml:space="preserve"> </w:t>
      </w:r>
      <w:r w:rsidRPr="00594FAA">
        <w:rPr>
          <w:color w:val="17365D" w:themeColor="text2" w:themeShade="BF"/>
          <w:sz w:val="18"/>
        </w:rPr>
        <w:t>(</w:t>
      </w:r>
      <w:hyperlink r:id="rId9" w:history="1">
        <w:r w:rsidRPr="00594FAA">
          <w:rPr>
            <w:rStyle w:val="Lienhypertexte"/>
            <w:sz w:val="18"/>
          </w:rPr>
          <w:t>http://www.</w:t>
        </w:r>
        <w:r w:rsidRPr="00594FAA">
          <w:rPr>
            <w:rStyle w:val="Lienhypertexte"/>
            <w:sz w:val="18"/>
          </w:rPr>
          <w:t>i</w:t>
        </w:r>
        <w:r w:rsidRPr="00594FAA">
          <w:rPr>
            <w:rStyle w:val="Lienhypertexte"/>
            <w:sz w:val="18"/>
          </w:rPr>
          <w:t>nterbible.org/acrb</w:t>
        </w:r>
      </w:hyperlink>
      <w:r w:rsidRPr="00594FAA">
        <w:rPr>
          <w:color w:val="17365D" w:themeColor="text2" w:themeShade="BF"/>
          <w:sz w:val="18"/>
        </w:rPr>
        <w:t>)</w:t>
      </w:r>
      <w:r w:rsidR="00432F3D">
        <w:rPr>
          <w:color w:val="17365D" w:themeColor="text2" w:themeShade="BF"/>
        </w:rPr>
        <w:t>, viendra de Sherbrooke</w:t>
      </w:r>
      <w:r w:rsidR="008169CA">
        <w:rPr>
          <w:color w:val="17365D" w:themeColor="text2" w:themeShade="BF"/>
        </w:rPr>
        <w:t xml:space="preserve">. </w:t>
      </w:r>
      <w:r>
        <w:rPr>
          <w:color w:val="17365D" w:themeColor="text2" w:themeShade="BF"/>
        </w:rPr>
        <w:t xml:space="preserve">Nous </w:t>
      </w:r>
      <w:r w:rsidR="00ED4D89">
        <w:rPr>
          <w:color w:val="17365D" w:themeColor="text2" w:themeShade="BF"/>
        </w:rPr>
        <w:t xml:space="preserve">expérimenterons </w:t>
      </w:r>
      <w:r>
        <w:rPr>
          <w:color w:val="17365D" w:themeColor="text2" w:themeShade="BF"/>
        </w:rPr>
        <w:t xml:space="preserve">avec elle </w:t>
      </w:r>
      <w:r w:rsidR="00432F3D">
        <w:rPr>
          <w:color w:val="17365D" w:themeColor="text2" w:themeShade="BF"/>
        </w:rPr>
        <w:t>l</w:t>
      </w:r>
      <w:r w:rsidR="00ED4D89">
        <w:rPr>
          <w:color w:val="17365D" w:themeColor="text2" w:themeShade="BF"/>
        </w:rPr>
        <w:t xml:space="preserve">’approche </w:t>
      </w:r>
      <w:r w:rsidR="00432F3D">
        <w:rPr>
          <w:color w:val="17365D" w:themeColor="text2" w:themeShade="BF"/>
        </w:rPr>
        <w:t>pédagogi</w:t>
      </w:r>
      <w:r w:rsidR="00ED4D89">
        <w:rPr>
          <w:color w:val="17365D" w:themeColor="text2" w:themeShade="BF"/>
        </w:rPr>
        <w:t>qu</w:t>
      </w:r>
      <w:r w:rsidR="00432F3D">
        <w:rPr>
          <w:color w:val="17365D" w:themeColor="text2" w:themeShade="BF"/>
        </w:rPr>
        <w:t xml:space="preserve">e du récitatif </w:t>
      </w:r>
      <w:r w:rsidR="00ED4D89">
        <w:rPr>
          <w:color w:val="17365D" w:themeColor="text2" w:themeShade="BF"/>
        </w:rPr>
        <w:t xml:space="preserve">aussi bien </w:t>
      </w:r>
      <w:r w:rsidR="008169CA">
        <w:rPr>
          <w:color w:val="17365D" w:themeColor="text2" w:themeShade="BF"/>
        </w:rPr>
        <w:t xml:space="preserve">pour </w:t>
      </w:r>
      <w:r w:rsidR="006F4674">
        <w:rPr>
          <w:color w:val="17365D" w:themeColor="text2" w:themeShade="BF"/>
        </w:rPr>
        <w:t xml:space="preserve">nos animations </w:t>
      </w:r>
      <w:r w:rsidR="00ED4D89">
        <w:rPr>
          <w:color w:val="17365D" w:themeColor="text2" w:themeShade="BF"/>
        </w:rPr>
        <w:t xml:space="preserve">que pour notre </w:t>
      </w:r>
      <w:r w:rsidR="008169CA">
        <w:rPr>
          <w:color w:val="17365D" w:themeColor="text2" w:themeShade="BF"/>
        </w:rPr>
        <w:t xml:space="preserve">ressourcement </w:t>
      </w:r>
      <w:r w:rsidR="006F4674">
        <w:rPr>
          <w:color w:val="17365D" w:themeColor="text2" w:themeShade="BF"/>
        </w:rPr>
        <w:t>personnel</w:t>
      </w:r>
      <w:r w:rsidR="003A3325">
        <w:rPr>
          <w:color w:val="17365D" w:themeColor="text2" w:themeShade="BF"/>
        </w:rPr>
        <w:t>.</w:t>
      </w:r>
      <w:r w:rsidR="00A10A4D">
        <w:rPr>
          <w:color w:val="17365D" w:themeColor="text2" w:themeShade="BF"/>
        </w:rPr>
        <w:t xml:space="preserve"> </w:t>
      </w:r>
    </w:p>
    <w:p w:rsidR="00432F3D" w:rsidRDefault="00432F3D" w:rsidP="00EC390F">
      <w:pPr>
        <w:pBdr>
          <w:top w:val="single" w:sz="4" w:space="1" w:color="auto"/>
        </w:pBdr>
        <w:spacing w:after="0" w:line="240" w:lineRule="auto"/>
        <w:rPr>
          <w:color w:val="17365D" w:themeColor="text2" w:themeShade="BF"/>
        </w:rPr>
      </w:pPr>
    </w:p>
    <w:p w:rsidR="0097798D" w:rsidRPr="0097798D" w:rsidRDefault="00EC390F" w:rsidP="0097798D">
      <w:pPr>
        <w:pStyle w:val="Paragraphedeliste"/>
        <w:numPr>
          <w:ilvl w:val="5"/>
          <w:numId w:val="1"/>
        </w:numPr>
        <w:tabs>
          <w:tab w:val="left" w:pos="4962"/>
        </w:tabs>
        <w:spacing w:after="0" w:line="240" w:lineRule="auto"/>
        <w:ind w:left="4111" w:hanging="283"/>
        <w:rPr>
          <w:color w:val="17365D" w:themeColor="text2" w:themeShade="BF"/>
        </w:rPr>
      </w:pPr>
      <w:r w:rsidRPr="0097798D">
        <w:rPr>
          <w:color w:val="17365D" w:themeColor="text2" w:themeShade="BF"/>
        </w:rPr>
        <w:t xml:space="preserve">Quand : </w:t>
      </w:r>
      <w:r w:rsidR="0097798D" w:rsidRPr="0097798D">
        <w:rPr>
          <w:color w:val="17365D" w:themeColor="text2" w:themeShade="BF"/>
        </w:rPr>
        <w:tab/>
      </w:r>
      <w:r w:rsidR="00432F3D" w:rsidRPr="0097798D">
        <w:rPr>
          <w:color w:val="17365D" w:themeColor="text2" w:themeShade="BF"/>
        </w:rPr>
        <w:t xml:space="preserve">Samedi le </w:t>
      </w:r>
      <w:r w:rsidR="007648D1">
        <w:rPr>
          <w:color w:val="17365D" w:themeColor="text2" w:themeShade="BF"/>
        </w:rPr>
        <w:t>21</w:t>
      </w:r>
      <w:r w:rsidRPr="0097798D">
        <w:rPr>
          <w:color w:val="17365D" w:themeColor="text2" w:themeShade="BF"/>
        </w:rPr>
        <w:t xml:space="preserve"> février 201</w:t>
      </w:r>
      <w:r w:rsidR="007648D1">
        <w:rPr>
          <w:color w:val="17365D" w:themeColor="text2" w:themeShade="BF"/>
        </w:rPr>
        <w:t>5</w:t>
      </w:r>
    </w:p>
    <w:p w:rsidR="0097798D" w:rsidRPr="00F06924" w:rsidRDefault="00EC390F" w:rsidP="0097798D">
      <w:pPr>
        <w:pStyle w:val="Paragraphedeliste"/>
        <w:numPr>
          <w:ilvl w:val="5"/>
          <w:numId w:val="1"/>
        </w:numPr>
        <w:tabs>
          <w:tab w:val="left" w:pos="4962"/>
        </w:tabs>
        <w:spacing w:after="0" w:line="240" w:lineRule="auto"/>
        <w:ind w:left="4111" w:hanging="283"/>
      </w:pPr>
      <w:r w:rsidRPr="0097798D">
        <w:rPr>
          <w:color w:val="17365D" w:themeColor="text2" w:themeShade="BF"/>
        </w:rPr>
        <w:t xml:space="preserve">Où : </w:t>
      </w:r>
      <w:r w:rsidR="0097798D" w:rsidRPr="0097798D">
        <w:rPr>
          <w:color w:val="17365D" w:themeColor="text2" w:themeShade="BF"/>
        </w:rPr>
        <w:tab/>
      </w:r>
      <w:r w:rsidRPr="0097798D">
        <w:rPr>
          <w:color w:val="17365D" w:themeColor="text2" w:themeShade="BF"/>
        </w:rPr>
        <w:t>Maison</w:t>
      </w:r>
      <w:r w:rsidR="0097798D">
        <w:rPr>
          <w:color w:val="17365D" w:themeColor="text2" w:themeShade="BF"/>
        </w:rPr>
        <w:t xml:space="preserve"> des services diocésains,</w:t>
      </w:r>
      <w:r w:rsidR="0097798D">
        <w:rPr>
          <w:color w:val="17365D" w:themeColor="text2" w:themeShade="BF"/>
        </w:rPr>
        <w:br/>
      </w:r>
      <w:r w:rsidR="0097798D">
        <w:rPr>
          <w:color w:val="17365D" w:themeColor="text2" w:themeShade="BF"/>
        </w:rPr>
        <w:tab/>
        <w:t xml:space="preserve">1073, </w:t>
      </w:r>
      <w:r w:rsidRPr="0097798D">
        <w:rPr>
          <w:color w:val="17365D" w:themeColor="text2" w:themeShade="BF"/>
        </w:rPr>
        <w:t>René-Lévesque ouest, Québec</w:t>
      </w:r>
      <w:r w:rsidR="00A5594C">
        <w:rPr>
          <w:color w:val="17365D" w:themeColor="text2" w:themeShade="BF"/>
        </w:rPr>
        <w:t xml:space="preserve"> </w:t>
      </w:r>
      <w:r w:rsidR="00A93420">
        <w:rPr>
          <w:color w:val="17365D" w:themeColor="text2" w:themeShade="BF"/>
        </w:rPr>
        <w:t xml:space="preserve"> </w:t>
      </w:r>
      <w:r w:rsidR="00A5594C" w:rsidRPr="00F06924">
        <w:rPr>
          <w:sz w:val="20"/>
        </w:rPr>
        <w:t>(local 153)</w:t>
      </w:r>
    </w:p>
    <w:p w:rsidR="00432F3D" w:rsidRPr="00A5594C" w:rsidRDefault="00432F3D" w:rsidP="0097798D">
      <w:pPr>
        <w:pStyle w:val="Paragraphedeliste"/>
        <w:numPr>
          <w:ilvl w:val="5"/>
          <w:numId w:val="1"/>
        </w:numPr>
        <w:tabs>
          <w:tab w:val="left" w:pos="4962"/>
        </w:tabs>
        <w:spacing w:after="0" w:line="240" w:lineRule="auto"/>
        <w:ind w:left="4111" w:hanging="283"/>
        <w:rPr>
          <w:color w:val="17365D" w:themeColor="text2" w:themeShade="BF"/>
          <w:sz w:val="20"/>
        </w:rPr>
      </w:pPr>
      <w:r w:rsidRPr="0097798D">
        <w:rPr>
          <w:color w:val="17365D" w:themeColor="text2" w:themeShade="BF"/>
        </w:rPr>
        <w:t>Horaire :</w:t>
      </w:r>
      <w:r w:rsidR="0097798D" w:rsidRPr="0097798D">
        <w:rPr>
          <w:color w:val="17365D" w:themeColor="text2" w:themeShade="BF"/>
        </w:rPr>
        <w:tab/>
      </w:r>
      <w:r w:rsidRPr="0097798D">
        <w:rPr>
          <w:color w:val="17365D" w:themeColor="text2" w:themeShade="BF"/>
        </w:rPr>
        <w:t>9h30 – 15h30</w:t>
      </w:r>
      <w:r w:rsidR="007648D1">
        <w:rPr>
          <w:color w:val="17365D" w:themeColor="text2" w:themeShade="BF"/>
        </w:rPr>
        <w:t xml:space="preserve">  </w:t>
      </w:r>
      <w:r w:rsidR="007648D1">
        <w:rPr>
          <w:color w:val="17365D" w:themeColor="text2" w:themeShade="BF"/>
        </w:rPr>
        <w:tab/>
      </w:r>
      <w:r w:rsidR="007648D1">
        <w:rPr>
          <w:color w:val="17365D" w:themeColor="text2" w:themeShade="BF"/>
        </w:rPr>
        <w:tab/>
      </w:r>
      <w:r w:rsidR="007648D1">
        <w:rPr>
          <w:color w:val="17365D" w:themeColor="text2" w:themeShade="BF"/>
        </w:rPr>
        <w:tab/>
      </w:r>
      <w:r w:rsidR="00A5594C">
        <w:rPr>
          <w:color w:val="17365D" w:themeColor="text2" w:themeShade="BF"/>
        </w:rPr>
        <w:t xml:space="preserve">        </w:t>
      </w:r>
    </w:p>
    <w:p w:rsidR="0097798D" w:rsidRPr="0097798D" w:rsidRDefault="00432F3D" w:rsidP="0097798D">
      <w:pPr>
        <w:pStyle w:val="Paragraphedeliste"/>
        <w:numPr>
          <w:ilvl w:val="5"/>
          <w:numId w:val="1"/>
        </w:numPr>
        <w:tabs>
          <w:tab w:val="left" w:pos="4962"/>
        </w:tabs>
        <w:spacing w:after="0" w:line="240" w:lineRule="auto"/>
        <w:ind w:left="4111" w:hanging="283"/>
        <w:rPr>
          <w:color w:val="17365D" w:themeColor="text2" w:themeShade="BF"/>
        </w:rPr>
      </w:pPr>
      <w:r w:rsidRPr="0097798D">
        <w:rPr>
          <w:color w:val="17365D" w:themeColor="text2" w:themeShade="BF"/>
        </w:rPr>
        <w:t xml:space="preserve">Coût : </w:t>
      </w:r>
      <w:r w:rsidR="0097798D" w:rsidRPr="0097798D">
        <w:rPr>
          <w:color w:val="17365D" w:themeColor="text2" w:themeShade="BF"/>
        </w:rPr>
        <w:tab/>
      </w:r>
      <w:r w:rsidR="006D4F76">
        <w:rPr>
          <w:color w:val="17365D" w:themeColor="text2" w:themeShade="BF"/>
        </w:rPr>
        <w:t>30</w:t>
      </w:r>
      <w:r w:rsidRPr="0097798D">
        <w:rPr>
          <w:color w:val="17365D" w:themeColor="text2" w:themeShade="BF"/>
        </w:rPr>
        <w:t>$ / personne</w:t>
      </w:r>
      <w:r w:rsidR="0097798D">
        <w:rPr>
          <w:color w:val="17365D" w:themeColor="text2" w:themeShade="BF"/>
        </w:rPr>
        <w:br/>
      </w:r>
      <w:r w:rsidR="0097798D">
        <w:rPr>
          <w:color w:val="17365D" w:themeColor="text2" w:themeShade="BF"/>
        </w:rPr>
        <w:tab/>
      </w:r>
      <w:r w:rsidRPr="0097798D">
        <w:rPr>
          <w:color w:val="17365D" w:themeColor="text2" w:themeShade="BF"/>
          <w:sz w:val="20"/>
        </w:rPr>
        <w:t>(payable par chèque ou montant exact à l’arrivée)</w:t>
      </w:r>
      <w:r w:rsidR="0097798D" w:rsidRPr="0097798D">
        <w:rPr>
          <w:color w:val="17365D" w:themeColor="text2" w:themeShade="BF"/>
          <w:sz w:val="20"/>
        </w:rPr>
        <w:t xml:space="preserve"> </w:t>
      </w:r>
      <w:bookmarkStart w:id="0" w:name="_GoBack"/>
      <w:bookmarkEnd w:id="0"/>
    </w:p>
    <w:p w:rsidR="0097798D" w:rsidRPr="0097798D" w:rsidRDefault="00432F3D" w:rsidP="0097798D">
      <w:pPr>
        <w:pStyle w:val="Paragraphedeliste"/>
        <w:numPr>
          <w:ilvl w:val="5"/>
          <w:numId w:val="1"/>
        </w:numPr>
        <w:tabs>
          <w:tab w:val="left" w:pos="4962"/>
        </w:tabs>
        <w:spacing w:after="0" w:line="240" w:lineRule="auto"/>
        <w:ind w:left="4111" w:hanging="283"/>
        <w:rPr>
          <w:color w:val="17365D" w:themeColor="text2" w:themeShade="BF"/>
        </w:rPr>
      </w:pPr>
      <w:r w:rsidRPr="0097798D">
        <w:rPr>
          <w:color w:val="17365D" w:themeColor="text2" w:themeShade="BF"/>
        </w:rPr>
        <w:t xml:space="preserve">Repas : </w:t>
      </w:r>
      <w:r w:rsidR="0097798D" w:rsidRPr="0097798D">
        <w:rPr>
          <w:color w:val="17365D" w:themeColor="text2" w:themeShade="BF"/>
        </w:rPr>
        <w:tab/>
      </w:r>
      <w:r w:rsidRPr="0097798D">
        <w:rPr>
          <w:color w:val="17365D" w:themeColor="text2" w:themeShade="BF"/>
        </w:rPr>
        <w:t>Chacun, chacune apporte son dîner</w:t>
      </w:r>
      <w:r w:rsidR="0097798D">
        <w:rPr>
          <w:color w:val="17365D" w:themeColor="text2" w:themeShade="BF"/>
        </w:rPr>
        <w:br/>
      </w:r>
      <w:r w:rsidR="0097798D">
        <w:rPr>
          <w:color w:val="17365D" w:themeColor="text2" w:themeShade="BF"/>
        </w:rPr>
        <w:tab/>
      </w:r>
      <w:r w:rsidR="0097798D" w:rsidRPr="0097798D">
        <w:rPr>
          <w:color w:val="17365D" w:themeColor="text2" w:themeShade="BF"/>
          <w:sz w:val="20"/>
        </w:rPr>
        <w:t>(micro-ondes disponibles)</w:t>
      </w:r>
    </w:p>
    <w:p w:rsidR="00432F3D" w:rsidRDefault="00432F3D" w:rsidP="0097798D">
      <w:pPr>
        <w:spacing w:after="0" w:line="240" w:lineRule="auto"/>
        <w:ind w:left="3828"/>
        <w:rPr>
          <w:color w:val="17365D" w:themeColor="text2" w:themeShade="BF"/>
        </w:rPr>
      </w:pPr>
    </w:p>
    <w:p w:rsidR="007648D1" w:rsidRPr="00432F3D" w:rsidRDefault="00432F3D" w:rsidP="00963876">
      <w:pPr>
        <w:spacing w:after="0" w:line="240" w:lineRule="auto"/>
        <w:jc w:val="right"/>
        <w:rPr>
          <w:b/>
          <w:color w:val="17365D" w:themeColor="text2" w:themeShade="BF"/>
        </w:rPr>
      </w:pPr>
      <w:r w:rsidRPr="00432F3D">
        <w:rPr>
          <w:b/>
          <w:color w:val="17365D" w:themeColor="text2" w:themeShade="BF"/>
        </w:rPr>
        <w:t>Inscription par courriel</w:t>
      </w:r>
      <w:r w:rsidR="007648D1">
        <w:rPr>
          <w:b/>
          <w:color w:val="17365D" w:themeColor="text2" w:themeShade="BF"/>
        </w:rPr>
        <w:t> :</w:t>
      </w:r>
      <w:r w:rsidR="00F06924">
        <w:rPr>
          <w:b/>
          <w:color w:val="17365D" w:themeColor="text2" w:themeShade="BF"/>
        </w:rPr>
        <w:t xml:space="preserve"> </w:t>
      </w:r>
      <w:r w:rsidR="00DB62FD" w:rsidRPr="00DB62FD">
        <w:rPr>
          <w:b/>
          <w:color w:val="17365D" w:themeColor="text2" w:themeShade="BF"/>
        </w:rPr>
        <w:t>elisabeth.guay@ecdq.org</w:t>
      </w:r>
      <w:r w:rsidR="007648D1" w:rsidRPr="00AC28C5">
        <w:rPr>
          <w:color w:val="17365D" w:themeColor="text2" w:themeShade="BF"/>
        </w:rPr>
        <w:br/>
      </w:r>
      <w:r w:rsidR="00DB62FD">
        <w:rPr>
          <w:b/>
          <w:color w:val="17365D" w:themeColor="text2" w:themeShade="BF"/>
        </w:rPr>
        <w:t>ou par téléphone</w:t>
      </w:r>
      <w:r w:rsidR="009D2B16">
        <w:rPr>
          <w:b/>
          <w:color w:val="17365D" w:themeColor="text2" w:themeShade="BF"/>
        </w:rPr>
        <w:t xml:space="preserve"> </w:t>
      </w:r>
      <w:r w:rsidR="007648D1">
        <w:rPr>
          <w:b/>
          <w:color w:val="17365D" w:themeColor="text2" w:themeShade="BF"/>
        </w:rPr>
        <w:t>:</w:t>
      </w:r>
      <w:r w:rsidR="00887AAB">
        <w:rPr>
          <w:b/>
          <w:color w:val="17365D" w:themeColor="text2" w:themeShade="BF"/>
        </w:rPr>
        <w:t xml:space="preserve"> </w:t>
      </w:r>
      <w:r w:rsidR="00DB62FD" w:rsidRPr="00DB62FD">
        <w:rPr>
          <w:b/>
          <w:color w:val="17365D" w:themeColor="text2" w:themeShade="BF"/>
        </w:rPr>
        <w:t>418 688-1211, poste 302</w:t>
      </w:r>
      <w:r w:rsidR="00887AAB" w:rsidRPr="00AC28C5">
        <w:rPr>
          <w:rStyle w:val="Lienhypertexte"/>
        </w:rPr>
        <w:t xml:space="preserve"> </w:t>
      </w:r>
    </w:p>
    <w:sectPr w:rsidR="007648D1" w:rsidRPr="00432F3D" w:rsidSect="00A5594C">
      <w:pgSz w:w="11906" w:h="16838"/>
      <w:pgMar w:top="1417" w:right="1133"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Souvenir Lt BT">
    <w:altName w:val="Georgia"/>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45F9A"/>
    <w:multiLevelType w:val="hybridMultilevel"/>
    <w:tmpl w:val="C62C11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76"/>
    <w:rsid w:val="00093BE8"/>
    <w:rsid w:val="001063C3"/>
    <w:rsid w:val="001A45F0"/>
    <w:rsid w:val="001F4C07"/>
    <w:rsid w:val="002503CC"/>
    <w:rsid w:val="00253176"/>
    <w:rsid w:val="002C4681"/>
    <w:rsid w:val="00356A86"/>
    <w:rsid w:val="00366F84"/>
    <w:rsid w:val="0037605D"/>
    <w:rsid w:val="003A3325"/>
    <w:rsid w:val="00432F3D"/>
    <w:rsid w:val="00462B72"/>
    <w:rsid w:val="00496596"/>
    <w:rsid w:val="004B314A"/>
    <w:rsid w:val="00582B51"/>
    <w:rsid w:val="00594FAA"/>
    <w:rsid w:val="006D4F76"/>
    <w:rsid w:val="006F4674"/>
    <w:rsid w:val="00761AC0"/>
    <w:rsid w:val="007648D1"/>
    <w:rsid w:val="007D248E"/>
    <w:rsid w:val="007F53C0"/>
    <w:rsid w:val="008012FB"/>
    <w:rsid w:val="008169CA"/>
    <w:rsid w:val="00863468"/>
    <w:rsid w:val="00871172"/>
    <w:rsid w:val="00887AAB"/>
    <w:rsid w:val="008D071A"/>
    <w:rsid w:val="008E0CFE"/>
    <w:rsid w:val="0095552C"/>
    <w:rsid w:val="00963876"/>
    <w:rsid w:val="0097798D"/>
    <w:rsid w:val="00997B46"/>
    <w:rsid w:val="009A5AC5"/>
    <w:rsid w:val="009D2B16"/>
    <w:rsid w:val="00A10A4D"/>
    <w:rsid w:val="00A5594C"/>
    <w:rsid w:val="00A93420"/>
    <w:rsid w:val="00AC28C5"/>
    <w:rsid w:val="00AF1AEA"/>
    <w:rsid w:val="00B24085"/>
    <w:rsid w:val="00B4730B"/>
    <w:rsid w:val="00BC2ED0"/>
    <w:rsid w:val="00C11AAB"/>
    <w:rsid w:val="00C83A12"/>
    <w:rsid w:val="00D61300"/>
    <w:rsid w:val="00DB62FD"/>
    <w:rsid w:val="00DE59B9"/>
    <w:rsid w:val="00E54CDC"/>
    <w:rsid w:val="00E6741D"/>
    <w:rsid w:val="00E96FEB"/>
    <w:rsid w:val="00EC390F"/>
    <w:rsid w:val="00ED4D89"/>
    <w:rsid w:val="00EF02B3"/>
    <w:rsid w:val="00F0692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2E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2ED0"/>
    <w:rPr>
      <w:rFonts w:ascii="Tahoma" w:hAnsi="Tahoma" w:cs="Tahoma"/>
      <w:sz w:val="16"/>
      <w:szCs w:val="16"/>
    </w:rPr>
  </w:style>
  <w:style w:type="table" w:styleId="Grilledutableau">
    <w:name w:val="Table Grid"/>
    <w:basedOn w:val="TableauNormal"/>
    <w:uiPriority w:val="59"/>
    <w:rsid w:val="001A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7798D"/>
    <w:pPr>
      <w:ind w:left="720"/>
      <w:contextualSpacing/>
    </w:pPr>
  </w:style>
  <w:style w:type="character" w:styleId="Lienhypertexte">
    <w:name w:val="Hyperlink"/>
    <w:basedOn w:val="Policepardfaut"/>
    <w:uiPriority w:val="99"/>
    <w:unhideWhenUsed/>
    <w:rsid w:val="00963876"/>
    <w:rPr>
      <w:color w:val="0000FF" w:themeColor="hyperlink"/>
      <w:u w:val="single"/>
    </w:rPr>
  </w:style>
  <w:style w:type="character" w:styleId="Lienhypertextesuivivisit">
    <w:name w:val="FollowedHyperlink"/>
    <w:basedOn w:val="Policepardfaut"/>
    <w:uiPriority w:val="99"/>
    <w:semiHidden/>
    <w:unhideWhenUsed/>
    <w:rsid w:val="00594F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2E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2ED0"/>
    <w:rPr>
      <w:rFonts w:ascii="Tahoma" w:hAnsi="Tahoma" w:cs="Tahoma"/>
      <w:sz w:val="16"/>
      <w:szCs w:val="16"/>
    </w:rPr>
  </w:style>
  <w:style w:type="table" w:styleId="Grilledutableau">
    <w:name w:val="Table Grid"/>
    <w:basedOn w:val="TableauNormal"/>
    <w:uiPriority w:val="59"/>
    <w:rsid w:val="001A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7798D"/>
    <w:pPr>
      <w:ind w:left="720"/>
      <w:contextualSpacing/>
    </w:pPr>
  </w:style>
  <w:style w:type="character" w:styleId="Lienhypertexte">
    <w:name w:val="Hyperlink"/>
    <w:basedOn w:val="Policepardfaut"/>
    <w:uiPriority w:val="99"/>
    <w:unhideWhenUsed/>
    <w:rsid w:val="00963876"/>
    <w:rPr>
      <w:color w:val="0000FF" w:themeColor="hyperlink"/>
      <w:u w:val="single"/>
    </w:rPr>
  </w:style>
  <w:style w:type="character" w:styleId="Lienhypertextesuivivisit">
    <w:name w:val="FollowedHyperlink"/>
    <w:basedOn w:val="Policepardfaut"/>
    <w:uiPriority w:val="99"/>
    <w:semiHidden/>
    <w:unhideWhenUsed/>
    <w:rsid w:val="00594F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erbible.org/acr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428</Words>
  <Characters>2359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lalda</dc:creator>
  <cp:lastModifiedBy>Louise</cp:lastModifiedBy>
  <cp:revision>23</cp:revision>
  <cp:lastPrinted>2014-11-24T16:37:00Z</cp:lastPrinted>
  <dcterms:created xsi:type="dcterms:W3CDTF">2014-11-24T15:46:00Z</dcterms:created>
  <dcterms:modified xsi:type="dcterms:W3CDTF">2014-12-17T21:27:00Z</dcterms:modified>
</cp:coreProperties>
</file>